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8080"/>
      </w:tblGrid>
      <w:tr w:rsidR="00E208D4" w:rsidTr="00B00BA9">
        <w:trPr>
          <w:trHeight w:val="1090"/>
        </w:trPr>
        <w:tc>
          <w:tcPr>
            <w:tcW w:w="2410" w:type="dxa"/>
            <w:vAlign w:val="center"/>
          </w:tcPr>
          <w:p w:rsidR="00E208D4" w:rsidRDefault="00E208D4" w:rsidP="00EB3D71">
            <w:pPr>
              <w:pStyle w:val="ListParagraph"/>
              <w:ind w:left="459" w:hanging="425"/>
              <w:rPr>
                <w:b/>
                <w:sz w:val="28"/>
                <w:szCs w:val="28"/>
                <w:u w:val="single"/>
              </w:rPr>
            </w:pPr>
            <w:r>
              <w:rPr>
                <w:b/>
                <w:noProof/>
                <w:sz w:val="28"/>
                <w:szCs w:val="28"/>
                <w:u w:val="single"/>
                <w:lang w:eastAsia="en-CA"/>
              </w:rPr>
              <w:drawing>
                <wp:inline distT="0" distB="0" distL="0" distR="0" wp14:anchorId="03116FBE" wp14:editId="4EF87B87">
                  <wp:extent cx="1368652" cy="1043796"/>
                  <wp:effectExtent l="0" t="0" r="3175" b="444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rthouse_scales_gavel.jpg"/>
                          <pic:cNvPicPr/>
                        </pic:nvPicPr>
                        <pic:blipFill>
                          <a:blip r:embed="rId5">
                            <a:extLst>
                              <a:ext uri="{28A0092B-C50C-407E-A947-70E740481C1C}">
                                <a14:useLocalDpi xmlns:a14="http://schemas.microsoft.com/office/drawing/2010/main" val="0"/>
                              </a:ext>
                            </a:extLst>
                          </a:blip>
                          <a:stretch>
                            <a:fillRect/>
                          </a:stretch>
                        </pic:blipFill>
                        <pic:spPr>
                          <a:xfrm>
                            <a:off x="0" y="0"/>
                            <a:ext cx="1368653" cy="1043796"/>
                          </a:xfrm>
                          <a:prstGeom prst="rect">
                            <a:avLst/>
                          </a:prstGeom>
                        </pic:spPr>
                      </pic:pic>
                    </a:graphicData>
                  </a:graphic>
                </wp:inline>
              </w:drawing>
            </w:r>
          </w:p>
        </w:tc>
        <w:tc>
          <w:tcPr>
            <w:tcW w:w="8080" w:type="dxa"/>
            <w:vAlign w:val="center"/>
          </w:tcPr>
          <w:p w:rsidR="00E208D4" w:rsidRDefault="00E208D4" w:rsidP="00EB3D71">
            <w:pPr>
              <w:pStyle w:val="ListParagraph"/>
              <w:ind w:left="-136"/>
              <w:contextualSpacing w:val="0"/>
              <w:jc w:val="center"/>
              <w:rPr>
                <w:b/>
                <w:sz w:val="40"/>
                <w:szCs w:val="40"/>
              </w:rPr>
            </w:pPr>
            <w:r w:rsidRPr="009D148B">
              <w:rPr>
                <w:b/>
                <w:sz w:val="40"/>
                <w:szCs w:val="40"/>
              </w:rPr>
              <w:t>L</w:t>
            </w:r>
            <w:bookmarkStart w:id="0" w:name="BacktoLevelsofCourtandTypesofCourt"/>
            <w:bookmarkStart w:id="1" w:name="Levels"/>
            <w:bookmarkEnd w:id="0"/>
            <w:bookmarkEnd w:id="1"/>
            <w:r>
              <w:rPr>
                <w:b/>
                <w:sz w:val="40"/>
                <w:szCs w:val="40"/>
              </w:rPr>
              <w:t>evels of Courts and Types of</w:t>
            </w:r>
            <w:r w:rsidRPr="009D148B">
              <w:rPr>
                <w:b/>
                <w:sz w:val="40"/>
                <w:szCs w:val="40"/>
              </w:rPr>
              <w:t xml:space="preserve"> </w:t>
            </w:r>
          </w:p>
          <w:p w:rsidR="00E208D4" w:rsidRPr="009144BD" w:rsidRDefault="00E208D4" w:rsidP="00EB3D71">
            <w:pPr>
              <w:pStyle w:val="ListParagraph"/>
              <w:ind w:left="-136"/>
              <w:contextualSpacing w:val="0"/>
              <w:jc w:val="center"/>
              <w:rPr>
                <w:b/>
                <w:sz w:val="44"/>
                <w:szCs w:val="44"/>
              </w:rPr>
            </w:pPr>
            <w:r w:rsidRPr="009D148B">
              <w:rPr>
                <w:b/>
                <w:sz w:val="40"/>
                <w:szCs w:val="40"/>
              </w:rPr>
              <w:t>Proceedings in Ontario Courts</w:t>
            </w:r>
          </w:p>
        </w:tc>
      </w:tr>
    </w:tbl>
    <w:p w:rsidR="00E208D4" w:rsidRPr="009144BD" w:rsidRDefault="00E208D4" w:rsidP="00E208D4">
      <w:pPr>
        <w:spacing w:before="240" w:after="0" w:line="240" w:lineRule="auto"/>
        <w:ind w:hanging="567"/>
        <w:rPr>
          <w:sz w:val="28"/>
          <w:szCs w:val="28"/>
        </w:rPr>
      </w:pPr>
      <w:r w:rsidRPr="009144BD">
        <w:rPr>
          <w:b/>
          <w:bCs/>
          <w:sz w:val="28"/>
          <w:szCs w:val="28"/>
        </w:rPr>
        <w:t>Court of Appeal for Ontario</w:t>
      </w:r>
    </w:p>
    <w:p w:rsidR="00E208D4" w:rsidRPr="003831B7" w:rsidRDefault="00E208D4" w:rsidP="00E208D4">
      <w:pPr>
        <w:spacing w:after="0" w:line="240" w:lineRule="auto"/>
        <w:ind w:left="-567"/>
        <w:rPr>
          <w:rFonts w:ascii="Calibri Light" w:hAnsi="Calibri Light"/>
          <w:sz w:val="28"/>
          <w:szCs w:val="28"/>
        </w:rPr>
      </w:pPr>
      <w:r w:rsidRPr="003831B7">
        <w:rPr>
          <w:rFonts w:ascii="Calibri Light" w:hAnsi="Calibri Light"/>
          <w:sz w:val="28"/>
          <w:szCs w:val="28"/>
        </w:rPr>
        <w:t>The Court of Appeal for Ontario hears civil and criminal appeals from decisions of Ontario's two trial courts, the Superior Court of Justice and Ontario Court of Justice.</w:t>
      </w:r>
    </w:p>
    <w:p w:rsidR="00E208D4" w:rsidRPr="009144BD" w:rsidRDefault="00E208D4" w:rsidP="00E208D4">
      <w:pPr>
        <w:spacing w:before="240" w:after="0" w:line="240" w:lineRule="auto"/>
        <w:ind w:hanging="567"/>
        <w:rPr>
          <w:b/>
          <w:bCs/>
          <w:sz w:val="28"/>
          <w:szCs w:val="28"/>
        </w:rPr>
      </w:pPr>
      <w:r w:rsidRPr="009144BD">
        <w:rPr>
          <w:b/>
          <w:bCs/>
          <w:sz w:val="28"/>
          <w:szCs w:val="28"/>
        </w:rPr>
        <w:t>Superior Court of Justice:</w:t>
      </w:r>
    </w:p>
    <w:p w:rsidR="00E208D4" w:rsidRPr="003831B7" w:rsidRDefault="00E208D4" w:rsidP="00E208D4">
      <w:pPr>
        <w:spacing w:after="0" w:line="240" w:lineRule="auto"/>
        <w:ind w:left="-567"/>
        <w:rPr>
          <w:rFonts w:ascii="Calibri Light" w:hAnsi="Calibri Light"/>
          <w:sz w:val="28"/>
          <w:szCs w:val="28"/>
        </w:rPr>
      </w:pPr>
      <w:r w:rsidRPr="003831B7">
        <w:rPr>
          <w:rFonts w:ascii="Calibri Light" w:hAnsi="Calibri Light"/>
          <w:sz w:val="28"/>
          <w:szCs w:val="28"/>
        </w:rPr>
        <w:t xml:space="preserve">The Superior Court of Justice is a higher </w:t>
      </w:r>
      <w:r>
        <w:rPr>
          <w:rFonts w:ascii="Calibri Light" w:hAnsi="Calibri Light"/>
          <w:sz w:val="28"/>
          <w:szCs w:val="28"/>
        </w:rPr>
        <w:t xml:space="preserve">level of </w:t>
      </w:r>
      <w:r w:rsidRPr="003831B7">
        <w:rPr>
          <w:rFonts w:ascii="Calibri Light" w:hAnsi="Calibri Light"/>
          <w:sz w:val="28"/>
          <w:szCs w:val="28"/>
        </w:rPr>
        <w:t>court than the Ontario Court of Justice and hears:</w:t>
      </w:r>
    </w:p>
    <w:p w:rsidR="00E208D4" w:rsidRPr="003831B7" w:rsidRDefault="00E208D4" w:rsidP="00E208D4">
      <w:pPr>
        <w:numPr>
          <w:ilvl w:val="0"/>
          <w:numId w:val="1"/>
        </w:numPr>
        <w:spacing w:after="120" w:line="240" w:lineRule="auto"/>
        <w:ind w:left="714" w:hanging="357"/>
        <w:contextualSpacing/>
        <w:rPr>
          <w:rFonts w:ascii="Calibri Light" w:hAnsi="Calibri Light"/>
          <w:sz w:val="28"/>
          <w:szCs w:val="28"/>
        </w:rPr>
      </w:pPr>
      <w:r w:rsidRPr="003831B7">
        <w:rPr>
          <w:rFonts w:ascii="Calibri Light" w:hAnsi="Calibri Light"/>
          <w:sz w:val="28"/>
          <w:szCs w:val="28"/>
        </w:rPr>
        <w:t>Serious criminal offences</w:t>
      </w:r>
      <w:r>
        <w:rPr>
          <w:rFonts w:ascii="Calibri Light" w:hAnsi="Calibri Light"/>
          <w:sz w:val="28"/>
          <w:szCs w:val="28"/>
        </w:rPr>
        <w:t>;</w:t>
      </w:r>
    </w:p>
    <w:p w:rsidR="00E208D4" w:rsidRPr="003831B7" w:rsidRDefault="00E208D4" w:rsidP="00E208D4">
      <w:pPr>
        <w:numPr>
          <w:ilvl w:val="0"/>
          <w:numId w:val="1"/>
        </w:numPr>
        <w:spacing w:after="120" w:line="240" w:lineRule="auto"/>
        <w:ind w:left="714" w:hanging="357"/>
        <w:contextualSpacing/>
        <w:rPr>
          <w:rFonts w:ascii="Calibri Light" w:hAnsi="Calibri Light"/>
          <w:sz w:val="28"/>
          <w:szCs w:val="28"/>
        </w:rPr>
      </w:pPr>
      <w:r w:rsidRPr="003831B7">
        <w:rPr>
          <w:rFonts w:ascii="Calibri Light" w:hAnsi="Calibri Light"/>
          <w:sz w:val="28"/>
          <w:szCs w:val="28"/>
        </w:rPr>
        <w:t xml:space="preserve">Civil cases </w:t>
      </w:r>
      <w:r>
        <w:rPr>
          <w:rFonts w:ascii="Calibri Light" w:hAnsi="Calibri Light"/>
          <w:sz w:val="28"/>
          <w:szCs w:val="28"/>
        </w:rPr>
        <w:t>involving large amounts of money;</w:t>
      </w:r>
    </w:p>
    <w:p w:rsidR="00E208D4" w:rsidRPr="003831B7" w:rsidRDefault="00E208D4" w:rsidP="00E208D4">
      <w:pPr>
        <w:numPr>
          <w:ilvl w:val="0"/>
          <w:numId w:val="1"/>
        </w:numPr>
        <w:spacing w:after="120" w:line="240" w:lineRule="auto"/>
        <w:ind w:left="714" w:hanging="357"/>
        <w:contextualSpacing/>
        <w:rPr>
          <w:rFonts w:ascii="Calibri Light" w:hAnsi="Calibri Light"/>
          <w:sz w:val="28"/>
          <w:szCs w:val="28"/>
        </w:rPr>
      </w:pPr>
      <w:r w:rsidRPr="003831B7">
        <w:rPr>
          <w:rFonts w:ascii="Calibri Light" w:hAnsi="Calibri Light"/>
          <w:sz w:val="28"/>
          <w:szCs w:val="28"/>
        </w:rPr>
        <w:t xml:space="preserve">Challenges to the </w:t>
      </w:r>
      <w:r w:rsidRPr="001A1B29">
        <w:rPr>
          <w:rFonts w:ascii="Calibri Light" w:hAnsi="Calibri Light"/>
          <w:i/>
          <w:sz w:val="28"/>
          <w:szCs w:val="28"/>
        </w:rPr>
        <w:t>Canadian Charter of Rights and Freedoms</w:t>
      </w:r>
      <w:r>
        <w:rPr>
          <w:rFonts w:ascii="Calibri Light" w:hAnsi="Calibri Light"/>
          <w:sz w:val="28"/>
          <w:szCs w:val="28"/>
        </w:rPr>
        <w:t>;</w:t>
      </w:r>
    </w:p>
    <w:p w:rsidR="00E208D4" w:rsidRPr="003831B7" w:rsidRDefault="00E208D4" w:rsidP="00E208D4">
      <w:pPr>
        <w:numPr>
          <w:ilvl w:val="0"/>
          <w:numId w:val="1"/>
        </w:numPr>
        <w:spacing w:after="120" w:line="240" w:lineRule="auto"/>
        <w:ind w:left="714" w:hanging="357"/>
        <w:contextualSpacing/>
        <w:rPr>
          <w:rFonts w:ascii="Calibri Light" w:hAnsi="Calibri Light"/>
          <w:sz w:val="28"/>
          <w:szCs w:val="28"/>
        </w:rPr>
      </w:pPr>
      <w:r>
        <w:rPr>
          <w:rFonts w:ascii="Calibri Light" w:hAnsi="Calibri Light"/>
          <w:sz w:val="28"/>
          <w:szCs w:val="28"/>
        </w:rPr>
        <w:t>Judge and jury trials;</w:t>
      </w:r>
    </w:p>
    <w:p w:rsidR="00E208D4" w:rsidRPr="003831B7" w:rsidRDefault="00E208D4" w:rsidP="00E208D4">
      <w:pPr>
        <w:numPr>
          <w:ilvl w:val="0"/>
          <w:numId w:val="1"/>
        </w:numPr>
        <w:spacing w:after="120" w:line="240" w:lineRule="auto"/>
        <w:ind w:left="714" w:hanging="357"/>
        <w:contextualSpacing/>
        <w:rPr>
          <w:rFonts w:ascii="Calibri Light" w:hAnsi="Calibri Light"/>
          <w:sz w:val="28"/>
          <w:szCs w:val="28"/>
        </w:rPr>
      </w:pPr>
      <w:r w:rsidRPr="003831B7">
        <w:rPr>
          <w:rFonts w:ascii="Calibri Light" w:hAnsi="Calibri Light"/>
          <w:sz w:val="28"/>
          <w:szCs w:val="28"/>
        </w:rPr>
        <w:t>Appeals from the decisions of the Ontario Court of Justice</w:t>
      </w:r>
      <w:r>
        <w:rPr>
          <w:rFonts w:ascii="Calibri Light" w:hAnsi="Calibri Light"/>
          <w:sz w:val="28"/>
          <w:szCs w:val="28"/>
        </w:rPr>
        <w:t xml:space="preserve"> in summary conviction matters;</w:t>
      </w:r>
    </w:p>
    <w:p w:rsidR="00E208D4" w:rsidRPr="003831B7" w:rsidRDefault="00E208D4" w:rsidP="00E208D4">
      <w:pPr>
        <w:numPr>
          <w:ilvl w:val="0"/>
          <w:numId w:val="1"/>
        </w:numPr>
        <w:spacing w:after="0" w:line="240" w:lineRule="auto"/>
        <w:ind w:left="714" w:hanging="357"/>
        <w:contextualSpacing/>
        <w:rPr>
          <w:rFonts w:ascii="Calibri Light" w:hAnsi="Calibri Light"/>
          <w:sz w:val="28"/>
          <w:szCs w:val="28"/>
        </w:rPr>
      </w:pPr>
      <w:r w:rsidRPr="003B3FBF">
        <w:rPr>
          <w:b/>
          <w:bCs/>
          <w:sz w:val="28"/>
          <w:szCs w:val="28"/>
        </w:rPr>
        <w:t>Divisional Court</w:t>
      </w:r>
      <w:r w:rsidRPr="003B3FBF">
        <w:rPr>
          <w:sz w:val="28"/>
          <w:szCs w:val="28"/>
        </w:rPr>
        <w:t>,</w:t>
      </w:r>
      <w:r w:rsidRPr="003831B7">
        <w:rPr>
          <w:rFonts w:ascii="Calibri Light" w:hAnsi="Calibri Light"/>
          <w:sz w:val="28"/>
          <w:szCs w:val="28"/>
        </w:rPr>
        <w:t xml:space="preserve"> </w:t>
      </w:r>
      <w:r w:rsidRPr="003B3FBF">
        <w:rPr>
          <w:b/>
          <w:bCs/>
          <w:sz w:val="28"/>
          <w:szCs w:val="28"/>
        </w:rPr>
        <w:t>Small Claims Court</w:t>
      </w:r>
      <w:r w:rsidRPr="003831B7">
        <w:rPr>
          <w:rFonts w:ascii="Calibri Light" w:hAnsi="Calibri Light"/>
          <w:b/>
          <w:bCs/>
          <w:sz w:val="28"/>
          <w:szCs w:val="28"/>
        </w:rPr>
        <w:t xml:space="preserve"> </w:t>
      </w:r>
      <w:r w:rsidRPr="003831B7">
        <w:rPr>
          <w:rFonts w:ascii="Calibri Light" w:hAnsi="Calibri Light"/>
          <w:sz w:val="28"/>
          <w:szCs w:val="28"/>
        </w:rPr>
        <w:t xml:space="preserve">and </w:t>
      </w:r>
      <w:r w:rsidRPr="003B3FBF">
        <w:rPr>
          <w:b/>
          <w:bCs/>
          <w:sz w:val="28"/>
          <w:szCs w:val="28"/>
        </w:rPr>
        <w:t>Family Court</w:t>
      </w:r>
      <w:r w:rsidRPr="003831B7">
        <w:rPr>
          <w:rFonts w:ascii="Calibri Light" w:hAnsi="Calibri Light"/>
          <w:b/>
          <w:bCs/>
          <w:sz w:val="28"/>
          <w:szCs w:val="28"/>
        </w:rPr>
        <w:t xml:space="preserve"> </w:t>
      </w:r>
      <w:r w:rsidRPr="003831B7">
        <w:rPr>
          <w:rFonts w:ascii="Calibri Light" w:hAnsi="Calibri Light"/>
          <w:sz w:val="28"/>
          <w:szCs w:val="28"/>
        </w:rPr>
        <w:t>are all branches o</w:t>
      </w:r>
      <w:r>
        <w:rPr>
          <w:rFonts w:ascii="Calibri Light" w:hAnsi="Calibri Light"/>
          <w:sz w:val="28"/>
          <w:szCs w:val="28"/>
        </w:rPr>
        <w:t>f the Superior Court of Justice</w:t>
      </w:r>
    </w:p>
    <w:p w:rsidR="00E208D4" w:rsidRPr="00F94FE2" w:rsidRDefault="00E208D4" w:rsidP="00E208D4">
      <w:pPr>
        <w:spacing w:before="120" w:after="0" w:line="240" w:lineRule="auto"/>
        <w:ind w:left="357"/>
        <w:rPr>
          <w:rFonts w:ascii="Calibri Light" w:hAnsi="Calibri Light"/>
          <w:sz w:val="28"/>
          <w:szCs w:val="28"/>
        </w:rPr>
      </w:pPr>
      <w:r w:rsidRPr="00F94FE2">
        <w:rPr>
          <w:rFonts w:ascii="Calibri Light" w:hAnsi="Calibri Light"/>
          <w:b/>
          <w:bCs/>
          <w:sz w:val="28"/>
          <w:szCs w:val="28"/>
        </w:rPr>
        <w:t>N</w:t>
      </w:r>
      <w:r w:rsidRPr="001A1B29">
        <w:rPr>
          <w:b/>
          <w:bCs/>
          <w:sz w:val="28"/>
          <w:szCs w:val="28"/>
        </w:rPr>
        <w:t>ote</w:t>
      </w:r>
      <w:r w:rsidRPr="00F94FE2">
        <w:rPr>
          <w:rFonts w:ascii="Calibri Light" w:hAnsi="Calibri Light"/>
          <w:b/>
          <w:bCs/>
          <w:sz w:val="28"/>
          <w:szCs w:val="28"/>
        </w:rPr>
        <w:t xml:space="preserve">:  </w:t>
      </w:r>
      <w:r w:rsidRPr="00F94FE2">
        <w:rPr>
          <w:rFonts w:ascii="Calibri Light" w:hAnsi="Calibri Light"/>
          <w:sz w:val="28"/>
          <w:szCs w:val="28"/>
        </w:rPr>
        <w:t>The Superior Court of Justice can decide family law disputes involving divorce, division of property, child and spousal support, and custody and access. The court does not hear adoption and child protection matters, except on appeal.</w:t>
      </w:r>
    </w:p>
    <w:p w:rsidR="00E208D4" w:rsidRPr="009144BD" w:rsidRDefault="00E208D4" w:rsidP="00E208D4">
      <w:pPr>
        <w:spacing w:before="240" w:after="0" w:line="240" w:lineRule="auto"/>
        <w:ind w:hanging="567"/>
        <w:rPr>
          <w:b/>
          <w:bCs/>
          <w:sz w:val="28"/>
          <w:szCs w:val="28"/>
        </w:rPr>
      </w:pPr>
      <w:r w:rsidRPr="009144BD">
        <w:rPr>
          <w:b/>
          <w:bCs/>
          <w:sz w:val="28"/>
          <w:szCs w:val="28"/>
        </w:rPr>
        <w:t>Ontario Court of Justice:</w:t>
      </w:r>
    </w:p>
    <w:p w:rsidR="00E208D4" w:rsidRPr="003831B7" w:rsidRDefault="00E208D4" w:rsidP="00E208D4">
      <w:pPr>
        <w:spacing w:after="0" w:line="240" w:lineRule="auto"/>
        <w:ind w:left="-283" w:hanging="284"/>
        <w:rPr>
          <w:rFonts w:ascii="Calibri Light" w:hAnsi="Calibri Light"/>
          <w:sz w:val="28"/>
          <w:szCs w:val="28"/>
        </w:rPr>
      </w:pPr>
      <w:r w:rsidRPr="003831B7">
        <w:rPr>
          <w:rFonts w:ascii="Calibri Light" w:hAnsi="Calibri Light"/>
          <w:sz w:val="28"/>
          <w:szCs w:val="28"/>
        </w:rPr>
        <w:t>The Ontario court of Justice presides over:</w:t>
      </w:r>
    </w:p>
    <w:p w:rsidR="00E208D4" w:rsidRPr="003831B7" w:rsidRDefault="00E208D4" w:rsidP="00E208D4">
      <w:pPr>
        <w:numPr>
          <w:ilvl w:val="0"/>
          <w:numId w:val="1"/>
        </w:numPr>
        <w:spacing w:after="120" w:line="240" w:lineRule="auto"/>
        <w:ind w:left="714" w:hanging="357"/>
        <w:contextualSpacing/>
        <w:rPr>
          <w:rFonts w:ascii="Calibri Light" w:hAnsi="Calibri Light"/>
          <w:sz w:val="28"/>
          <w:szCs w:val="28"/>
        </w:rPr>
      </w:pPr>
      <w:r w:rsidRPr="003831B7">
        <w:rPr>
          <w:rFonts w:ascii="Calibri Light" w:hAnsi="Calibri Light"/>
          <w:sz w:val="28"/>
          <w:szCs w:val="28"/>
        </w:rPr>
        <w:t>Adult criminal, youth criminal, family law, child welfare, and provincial offence matters;</w:t>
      </w:r>
    </w:p>
    <w:p w:rsidR="00E208D4" w:rsidRPr="003831B7" w:rsidRDefault="00E208D4" w:rsidP="00E208D4">
      <w:pPr>
        <w:numPr>
          <w:ilvl w:val="0"/>
          <w:numId w:val="1"/>
        </w:numPr>
        <w:spacing w:after="120" w:line="240" w:lineRule="auto"/>
        <w:ind w:left="714" w:hanging="357"/>
        <w:contextualSpacing/>
        <w:rPr>
          <w:rFonts w:ascii="Calibri Light" w:hAnsi="Calibri Light"/>
          <w:sz w:val="28"/>
          <w:szCs w:val="28"/>
        </w:rPr>
      </w:pPr>
      <w:r w:rsidRPr="003831B7">
        <w:rPr>
          <w:rFonts w:ascii="Calibri Light" w:hAnsi="Calibri Light"/>
          <w:sz w:val="28"/>
          <w:szCs w:val="28"/>
        </w:rPr>
        <w:t>Provincial offences matters (heard by the municipal POA courts)</w:t>
      </w:r>
      <w:r>
        <w:rPr>
          <w:rFonts w:ascii="Calibri Light" w:hAnsi="Calibri Light"/>
          <w:sz w:val="28"/>
          <w:szCs w:val="28"/>
        </w:rPr>
        <w:t>;</w:t>
      </w:r>
    </w:p>
    <w:p w:rsidR="00E208D4" w:rsidRPr="003831B7" w:rsidRDefault="00E208D4" w:rsidP="00E208D4">
      <w:pPr>
        <w:numPr>
          <w:ilvl w:val="0"/>
          <w:numId w:val="1"/>
        </w:numPr>
        <w:spacing w:after="120" w:line="240" w:lineRule="auto"/>
        <w:ind w:left="714" w:hanging="357"/>
        <w:contextualSpacing/>
        <w:rPr>
          <w:rFonts w:ascii="Calibri Light" w:hAnsi="Calibri Light"/>
          <w:sz w:val="28"/>
          <w:szCs w:val="28"/>
        </w:rPr>
      </w:pPr>
      <w:r w:rsidRPr="003831B7">
        <w:rPr>
          <w:rFonts w:ascii="Calibri Light" w:hAnsi="Calibri Light"/>
          <w:sz w:val="28"/>
          <w:szCs w:val="28"/>
        </w:rPr>
        <w:t>Appeals from the decisions of Justices of the Peace</w:t>
      </w:r>
      <w:r>
        <w:rPr>
          <w:rFonts w:ascii="Calibri Light" w:hAnsi="Calibri Light"/>
          <w:sz w:val="28"/>
          <w:szCs w:val="28"/>
        </w:rPr>
        <w:t xml:space="preserve"> in provincial offences matters;</w:t>
      </w:r>
    </w:p>
    <w:p w:rsidR="00E208D4" w:rsidRPr="003831B7" w:rsidRDefault="00E208D4" w:rsidP="00E208D4">
      <w:pPr>
        <w:numPr>
          <w:ilvl w:val="0"/>
          <w:numId w:val="1"/>
        </w:numPr>
        <w:spacing w:after="120" w:line="240" w:lineRule="auto"/>
        <w:ind w:left="714" w:hanging="357"/>
        <w:contextualSpacing/>
        <w:rPr>
          <w:rFonts w:ascii="Calibri Light" w:hAnsi="Calibri Light"/>
          <w:sz w:val="28"/>
          <w:szCs w:val="28"/>
        </w:rPr>
      </w:pPr>
      <w:r w:rsidRPr="003831B7">
        <w:rPr>
          <w:rFonts w:ascii="Calibri Light" w:hAnsi="Calibri Light"/>
          <w:sz w:val="28"/>
          <w:szCs w:val="28"/>
        </w:rPr>
        <w:t>Preliminary Hearings in criminal cases that will go to the Superior Court of Justice</w:t>
      </w:r>
      <w:r>
        <w:rPr>
          <w:rFonts w:ascii="Calibri Light" w:hAnsi="Calibri Light"/>
          <w:sz w:val="28"/>
          <w:szCs w:val="28"/>
        </w:rPr>
        <w:t>;</w:t>
      </w:r>
    </w:p>
    <w:p w:rsidR="00E208D4" w:rsidRPr="003831B7" w:rsidRDefault="00E208D4" w:rsidP="00E208D4">
      <w:pPr>
        <w:spacing w:before="120" w:after="120" w:line="240" w:lineRule="auto"/>
        <w:ind w:left="426"/>
        <w:rPr>
          <w:rFonts w:ascii="Calibri Light" w:hAnsi="Calibri Light"/>
          <w:sz w:val="28"/>
          <w:szCs w:val="28"/>
        </w:rPr>
      </w:pPr>
      <w:r w:rsidRPr="001A1B29">
        <w:rPr>
          <w:b/>
          <w:bCs/>
          <w:sz w:val="28"/>
          <w:szCs w:val="28"/>
        </w:rPr>
        <w:t>Note:</w:t>
      </w:r>
      <w:r w:rsidRPr="003831B7">
        <w:rPr>
          <w:rFonts w:ascii="Calibri Light" w:hAnsi="Calibri Light"/>
          <w:b/>
          <w:bCs/>
          <w:sz w:val="28"/>
          <w:szCs w:val="28"/>
        </w:rPr>
        <w:t xml:space="preserve">  </w:t>
      </w:r>
      <w:r w:rsidRPr="003831B7">
        <w:rPr>
          <w:rFonts w:ascii="Calibri Light" w:hAnsi="Calibri Light"/>
          <w:sz w:val="28"/>
          <w:szCs w:val="28"/>
        </w:rPr>
        <w:t xml:space="preserve">The Ontario Court of Justice (Family Court) hears family law disputes that fall under most Ontario legislation. Issues include: custody, access, child and </w:t>
      </w:r>
      <w:r>
        <w:rPr>
          <w:rFonts w:ascii="Calibri Light" w:hAnsi="Calibri Light"/>
          <w:sz w:val="28"/>
          <w:szCs w:val="28"/>
        </w:rPr>
        <w:t>s</w:t>
      </w:r>
      <w:r w:rsidRPr="003831B7">
        <w:rPr>
          <w:rFonts w:ascii="Calibri Light" w:hAnsi="Calibri Light"/>
          <w:sz w:val="28"/>
          <w:szCs w:val="28"/>
        </w:rPr>
        <w:t xml:space="preserve">pousal support, adoption and child protection applications. The Ontario Court of Justice does not </w:t>
      </w:r>
      <w:r>
        <w:rPr>
          <w:rFonts w:ascii="Calibri Light" w:hAnsi="Calibri Light"/>
          <w:sz w:val="28"/>
          <w:szCs w:val="28"/>
        </w:rPr>
        <w:t>deal with</w:t>
      </w:r>
      <w:r w:rsidRPr="003831B7">
        <w:rPr>
          <w:rFonts w:ascii="Calibri Light" w:hAnsi="Calibri Light"/>
          <w:sz w:val="28"/>
          <w:szCs w:val="28"/>
        </w:rPr>
        <w:t xml:space="preserve"> divorce or division of property matters.</w:t>
      </w:r>
    </w:p>
    <w:p w:rsidR="00E208D4" w:rsidRPr="009144BD" w:rsidRDefault="00E208D4" w:rsidP="00E208D4">
      <w:pPr>
        <w:spacing w:before="240" w:after="0" w:line="240" w:lineRule="auto"/>
        <w:ind w:hanging="567"/>
        <w:rPr>
          <w:b/>
          <w:bCs/>
          <w:sz w:val="28"/>
          <w:szCs w:val="28"/>
        </w:rPr>
      </w:pPr>
      <w:r w:rsidRPr="009144BD">
        <w:rPr>
          <w:b/>
          <w:bCs/>
          <w:sz w:val="28"/>
          <w:szCs w:val="28"/>
        </w:rPr>
        <w:t xml:space="preserve">Superior Court of Justice (Family Court) and Ontario Court of Justice (Family Court) </w:t>
      </w:r>
    </w:p>
    <w:p w:rsidR="00E208D4" w:rsidRPr="003831B7" w:rsidRDefault="00E208D4" w:rsidP="00E208D4">
      <w:pPr>
        <w:numPr>
          <w:ilvl w:val="0"/>
          <w:numId w:val="1"/>
        </w:numPr>
        <w:spacing w:before="120" w:after="120" w:line="240" w:lineRule="auto"/>
        <w:ind w:left="426" w:hanging="426"/>
        <w:rPr>
          <w:rFonts w:ascii="Calibri Light" w:hAnsi="Calibri Light"/>
          <w:sz w:val="28"/>
          <w:szCs w:val="28"/>
        </w:rPr>
      </w:pPr>
      <w:r w:rsidRPr="003831B7">
        <w:rPr>
          <w:rFonts w:ascii="Calibri Light" w:hAnsi="Calibri Light"/>
          <w:sz w:val="28"/>
          <w:szCs w:val="28"/>
        </w:rPr>
        <w:t xml:space="preserve">In Ontario, family law matters are heard in the Ontario Court of Justice, the Superior Court of Justice, or the Superior Court of Justice (Family Court) depending upon the </w:t>
      </w:r>
      <w:r w:rsidRPr="00F94FE2">
        <w:rPr>
          <w:rFonts w:ascii="Calibri Light" w:hAnsi="Calibri Light"/>
          <w:sz w:val="28"/>
          <w:szCs w:val="28"/>
        </w:rPr>
        <w:t>location</w:t>
      </w:r>
      <w:r w:rsidRPr="003831B7">
        <w:rPr>
          <w:rFonts w:ascii="Calibri Light" w:hAnsi="Calibri Light"/>
          <w:sz w:val="28"/>
          <w:szCs w:val="28"/>
        </w:rPr>
        <w:t xml:space="preserve"> in the province and the type of matter.</w:t>
      </w:r>
    </w:p>
    <w:p w:rsidR="00E208D4" w:rsidRPr="003831B7" w:rsidRDefault="00E208D4" w:rsidP="00E208D4">
      <w:pPr>
        <w:numPr>
          <w:ilvl w:val="0"/>
          <w:numId w:val="1"/>
        </w:numPr>
        <w:spacing w:after="120" w:line="240" w:lineRule="auto"/>
        <w:ind w:left="426" w:hanging="426"/>
        <w:contextualSpacing/>
        <w:rPr>
          <w:rFonts w:ascii="Calibri Light" w:hAnsi="Calibri Light"/>
          <w:sz w:val="28"/>
          <w:szCs w:val="28"/>
        </w:rPr>
      </w:pPr>
      <w:r w:rsidRPr="003831B7">
        <w:rPr>
          <w:rFonts w:ascii="Calibri Light" w:hAnsi="Calibri Light"/>
          <w:sz w:val="28"/>
          <w:szCs w:val="28"/>
        </w:rPr>
        <w:t>The Superior Court of Justice (Family Court) court hears all family law matters, including divorce, division of property, child and spousal support, custody and access, adoption, and child protection applications.  This court is sometimes referred to as a Unified Family Court.</w:t>
      </w:r>
    </w:p>
    <w:p w:rsidR="00E208D4" w:rsidRPr="003831B7" w:rsidRDefault="00E208D4" w:rsidP="00E208D4">
      <w:pPr>
        <w:numPr>
          <w:ilvl w:val="0"/>
          <w:numId w:val="1"/>
        </w:numPr>
        <w:spacing w:after="120" w:line="240" w:lineRule="auto"/>
        <w:ind w:left="426" w:hanging="426"/>
        <w:contextualSpacing/>
        <w:rPr>
          <w:rFonts w:ascii="Calibri Light" w:hAnsi="Calibri Light"/>
          <w:sz w:val="28"/>
          <w:szCs w:val="28"/>
        </w:rPr>
      </w:pPr>
      <w:r w:rsidRPr="003831B7">
        <w:rPr>
          <w:rFonts w:ascii="Calibri Light" w:hAnsi="Calibri Light"/>
          <w:sz w:val="28"/>
          <w:szCs w:val="28"/>
        </w:rPr>
        <w:t>Note: In court sites across the province where there is not a Superior Court of Justice (Family Court), matters are heard either in the Ontario Court of Justice or the Superior Court of Justice depending on the type of proceeding.</w:t>
      </w:r>
    </w:p>
    <w:p w:rsidR="00E208D4" w:rsidRDefault="00E208D4" w:rsidP="00E208D4">
      <w:pPr>
        <w:spacing w:before="240" w:afterLines="50" w:after="120" w:line="240" w:lineRule="auto"/>
        <w:ind w:hanging="709"/>
        <w:rPr>
          <w:b/>
          <w:bCs/>
          <w:sz w:val="28"/>
          <w:szCs w:val="28"/>
        </w:rPr>
      </w:pPr>
      <w:r w:rsidRPr="00F94FE2">
        <w:rPr>
          <w:b/>
          <w:bCs/>
          <w:sz w:val="28"/>
          <w:szCs w:val="28"/>
        </w:rPr>
        <w:t xml:space="preserve">Types of Proceedings </w:t>
      </w:r>
    </w:p>
    <w:tbl>
      <w:tblPr>
        <w:tblStyle w:val="TableGrid"/>
        <w:tblW w:w="10349" w:type="dxa"/>
        <w:tblCellSpacing w:w="20" w:type="dxa"/>
        <w:tblInd w:w="-2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403"/>
        <w:gridCol w:w="2977"/>
        <w:gridCol w:w="3969"/>
      </w:tblGrid>
      <w:tr w:rsidR="00E208D4" w:rsidRPr="00644119" w:rsidTr="00EB3D71">
        <w:trPr>
          <w:trHeight w:val="742"/>
          <w:tblCellSpacing w:w="20" w:type="dxa"/>
        </w:trPr>
        <w:tc>
          <w:tcPr>
            <w:tcW w:w="3343" w:type="dxa"/>
            <w:shd w:val="clear" w:color="auto" w:fill="D8DDEC"/>
            <w:vAlign w:val="center"/>
          </w:tcPr>
          <w:p w:rsidR="00E208D4" w:rsidRPr="00A64A8E" w:rsidRDefault="00E208D4" w:rsidP="00EB3D71">
            <w:pPr>
              <w:spacing w:before="120" w:after="120"/>
              <w:jc w:val="center"/>
              <w:rPr>
                <w:rFonts w:eastAsia="Times New Roman" w:cs="Arial"/>
                <w:b/>
              </w:rPr>
            </w:pPr>
            <w:r w:rsidRPr="00A64A8E">
              <w:rPr>
                <w:rFonts w:eastAsia="Times New Roman" w:cs="Arial"/>
                <w:b/>
              </w:rPr>
              <w:t>Superior Court of Justice</w:t>
            </w:r>
          </w:p>
        </w:tc>
        <w:tc>
          <w:tcPr>
            <w:tcW w:w="2937" w:type="dxa"/>
            <w:shd w:val="clear" w:color="auto" w:fill="D8DDEC"/>
            <w:vAlign w:val="center"/>
          </w:tcPr>
          <w:p w:rsidR="00E208D4" w:rsidRPr="00A64A8E" w:rsidRDefault="00E208D4" w:rsidP="00EB3D71">
            <w:pPr>
              <w:spacing w:before="120" w:after="120"/>
              <w:jc w:val="center"/>
              <w:rPr>
                <w:rFonts w:cs="Arial"/>
                <w:b/>
              </w:rPr>
            </w:pPr>
            <w:r w:rsidRPr="00A64A8E">
              <w:rPr>
                <w:rFonts w:cs="Arial"/>
                <w:b/>
              </w:rPr>
              <w:t>Ontario Court of Justice</w:t>
            </w:r>
          </w:p>
        </w:tc>
        <w:tc>
          <w:tcPr>
            <w:tcW w:w="3909" w:type="dxa"/>
            <w:shd w:val="clear" w:color="auto" w:fill="D8DDEC"/>
            <w:vAlign w:val="center"/>
          </w:tcPr>
          <w:p w:rsidR="00E208D4" w:rsidRPr="00A64A8E" w:rsidRDefault="00E208D4" w:rsidP="00EB3D71">
            <w:pPr>
              <w:jc w:val="center"/>
              <w:rPr>
                <w:rFonts w:cs="Arial"/>
                <w:b/>
              </w:rPr>
            </w:pPr>
            <w:r w:rsidRPr="00A64A8E">
              <w:rPr>
                <w:rFonts w:cs="Arial"/>
                <w:b/>
              </w:rPr>
              <w:t>Ontario Court of Justice (Family Court)</w:t>
            </w:r>
          </w:p>
          <w:p w:rsidR="00E208D4" w:rsidRPr="00A64A8E" w:rsidRDefault="00E208D4" w:rsidP="00EB3D71">
            <w:pPr>
              <w:jc w:val="center"/>
              <w:rPr>
                <w:rFonts w:cs="Arial"/>
                <w:b/>
              </w:rPr>
            </w:pPr>
            <w:r w:rsidRPr="00A64A8E">
              <w:rPr>
                <w:rFonts w:cs="Arial"/>
                <w:b/>
              </w:rPr>
              <w:t>Superior Court of Justice (Family Court)</w:t>
            </w:r>
          </w:p>
          <w:p w:rsidR="00E208D4" w:rsidRPr="00A64A8E" w:rsidRDefault="00E208D4" w:rsidP="00EB3D71">
            <w:pPr>
              <w:jc w:val="center"/>
              <w:rPr>
                <w:rFonts w:cs="Arial"/>
                <w:b/>
              </w:rPr>
            </w:pPr>
            <w:r w:rsidRPr="00A64A8E">
              <w:rPr>
                <w:rFonts w:cs="Arial"/>
                <w:b/>
              </w:rPr>
              <w:t>or Superior Court</w:t>
            </w:r>
          </w:p>
        </w:tc>
      </w:tr>
      <w:tr w:rsidR="00E208D4" w:rsidRPr="00644119" w:rsidTr="00EB3D71">
        <w:trPr>
          <w:trHeight w:val="5159"/>
          <w:tblCellSpacing w:w="20" w:type="dxa"/>
        </w:trPr>
        <w:tc>
          <w:tcPr>
            <w:tcW w:w="3343" w:type="dxa"/>
          </w:tcPr>
          <w:p w:rsidR="00E208D4" w:rsidRPr="00A64A8E" w:rsidRDefault="00E208D4" w:rsidP="00EB3D71">
            <w:pPr>
              <w:spacing w:before="120"/>
              <w:rPr>
                <w:rFonts w:cs="Arial"/>
              </w:rPr>
            </w:pPr>
            <w:r w:rsidRPr="00A64A8E">
              <w:rPr>
                <w:rFonts w:cs="Arial"/>
              </w:rPr>
              <w:t>Appeals (from OCJ)</w:t>
            </w:r>
          </w:p>
          <w:p w:rsidR="00E208D4" w:rsidRPr="00A64A8E" w:rsidRDefault="00E208D4" w:rsidP="00EB3D71">
            <w:pPr>
              <w:rPr>
                <w:rFonts w:eastAsia="Times New Roman" w:cs="Arial"/>
              </w:rPr>
            </w:pPr>
            <w:r w:rsidRPr="00A64A8E">
              <w:rPr>
                <w:rFonts w:eastAsia="Times New Roman" w:cs="Arial"/>
              </w:rPr>
              <w:t>Assignment Court</w:t>
            </w:r>
          </w:p>
          <w:p w:rsidR="00E208D4" w:rsidRPr="00A64A8E" w:rsidRDefault="00E208D4" w:rsidP="00EB3D71">
            <w:pPr>
              <w:rPr>
                <w:rFonts w:cs="Arial"/>
              </w:rPr>
            </w:pPr>
            <w:r w:rsidRPr="00A64A8E">
              <w:rPr>
                <w:rFonts w:eastAsia="Times New Roman" w:cs="Arial"/>
              </w:rPr>
              <w:t>Civil and Criminal Motions</w:t>
            </w:r>
          </w:p>
          <w:p w:rsidR="00E208D4" w:rsidRPr="00A64A8E" w:rsidRDefault="00E208D4" w:rsidP="00EB3D71">
            <w:pPr>
              <w:rPr>
                <w:rFonts w:eastAsia="Times New Roman" w:cs="Arial"/>
              </w:rPr>
            </w:pPr>
            <w:r w:rsidRPr="00A64A8E">
              <w:rPr>
                <w:rFonts w:eastAsia="Times New Roman" w:cs="Arial"/>
              </w:rPr>
              <w:t>Civil Settlement Conferences</w:t>
            </w:r>
          </w:p>
          <w:p w:rsidR="00E208D4" w:rsidRPr="00A64A8E" w:rsidRDefault="00E208D4" w:rsidP="00EB3D71">
            <w:pPr>
              <w:rPr>
                <w:rFonts w:eastAsia="Times New Roman" w:cs="Arial"/>
              </w:rPr>
            </w:pPr>
            <w:r w:rsidRPr="00A64A8E">
              <w:rPr>
                <w:rFonts w:eastAsia="Times New Roman" w:cs="Arial"/>
              </w:rPr>
              <w:t>Criminal Pretrials</w:t>
            </w:r>
          </w:p>
          <w:p w:rsidR="00E208D4" w:rsidRPr="00A64A8E" w:rsidRDefault="00E208D4" w:rsidP="00EB3D71">
            <w:pPr>
              <w:rPr>
                <w:rFonts w:cs="Arial"/>
              </w:rPr>
            </w:pPr>
            <w:r w:rsidRPr="00A64A8E">
              <w:rPr>
                <w:rFonts w:cs="Arial"/>
              </w:rPr>
              <w:t xml:space="preserve">Criminal Bail </w:t>
            </w:r>
            <w:proofErr w:type="spellStart"/>
            <w:r w:rsidRPr="00A64A8E">
              <w:rPr>
                <w:rFonts w:cs="Arial"/>
              </w:rPr>
              <w:t>Estreats</w:t>
            </w:r>
            <w:proofErr w:type="spellEnd"/>
          </w:p>
          <w:p w:rsidR="00E208D4" w:rsidRPr="00A64A8E" w:rsidRDefault="00E208D4" w:rsidP="00EB3D71">
            <w:pPr>
              <w:rPr>
                <w:rFonts w:cs="Arial"/>
              </w:rPr>
            </w:pPr>
            <w:r w:rsidRPr="00A64A8E">
              <w:rPr>
                <w:rFonts w:cs="Arial"/>
              </w:rPr>
              <w:t>Criminal Bail Reviews</w:t>
            </w:r>
          </w:p>
          <w:p w:rsidR="00E208D4" w:rsidRPr="00A64A8E" w:rsidRDefault="00E208D4" w:rsidP="00EB3D71">
            <w:pPr>
              <w:rPr>
                <w:rFonts w:cs="Arial"/>
              </w:rPr>
            </w:pPr>
            <w:r w:rsidRPr="00A64A8E">
              <w:rPr>
                <w:rFonts w:cs="Arial"/>
              </w:rPr>
              <w:t xml:space="preserve">Criminal Pleas </w:t>
            </w:r>
          </w:p>
          <w:p w:rsidR="00E208D4" w:rsidRPr="00A64A8E" w:rsidRDefault="00E208D4" w:rsidP="00EB3D71">
            <w:pPr>
              <w:rPr>
                <w:rFonts w:cs="Arial"/>
              </w:rPr>
            </w:pPr>
            <w:r w:rsidRPr="00A64A8E">
              <w:rPr>
                <w:rFonts w:cs="Arial"/>
              </w:rPr>
              <w:t>Injunctions</w:t>
            </w:r>
          </w:p>
          <w:p w:rsidR="00E208D4" w:rsidRPr="00A64A8E" w:rsidRDefault="00E208D4" w:rsidP="00EB3D71">
            <w:pPr>
              <w:rPr>
                <w:rFonts w:cs="Arial"/>
              </w:rPr>
            </w:pPr>
            <w:r w:rsidRPr="00A64A8E">
              <w:rPr>
                <w:rFonts w:cs="Arial"/>
              </w:rPr>
              <w:t>Civil Trials (Jury and non-Jury)</w:t>
            </w:r>
          </w:p>
          <w:p w:rsidR="00E208D4" w:rsidRPr="00A64A8E" w:rsidRDefault="00E208D4" w:rsidP="00EB3D71">
            <w:pPr>
              <w:rPr>
                <w:rFonts w:cs="Arial"/>
              </w:rPr>
            </w:pPr>
            <w:r w:rsidRPr="00A64A8E">
              <w:rPr>
                <w:rFonts w:cs="Arial"/>
              </w:rPr>
              <w:t>Criminal Trials (Jury and non-Jury)</w:t>
            </w:r>
          </w:p>
          <w:p w:rsidR="00E208D4" w:rsidRPr="002E12A5" w:rsidRDefault="00E208D4" w:rsidP="00EB3D71">
            <w:pPr>
              <w:rPr>
                <w:rFonts w:cs="Arial"/>
                <w:b/>
              </w:rPr>
            </w:pPr>
            <w:r w:rsidRPr="002E12A5">
              <w:rPr>
                <w:rFonts w:cs="Arial"/>
                <w:b/>
              </w:rPr>
              <w:t>Solicitor Client Taxations</w:t>
            </w:r>
          </w:p>
          <w:p w:rsidR="00E208D4" w:rsidRPr="00A64A8E" w:rsidRDefault="00E208D4" w:rsidP="00EB3D71">
            <w:pPr>
              <w:rPr>
                <w:rFonts w:cs="Arial"/>
              </w:rPr>
            </w:pPr>
            <w:r>
              <w:rPr>
                <w:rFonts w:cs="Arial"/>
              </w:rPr>
              <w:t>(Heard by Assessment Officers)</w:t>
            </w:r>
          </w:p>
          <w:p w:rsidR="00E208D4" w:rsidRDefault="00E208D4" w:rsidP="00EB3D71">
            <w:pPr>
              <w:spacing w:before="120"/>
              <w:rPr>
                <w:rFonts w:cs="Arial"/>
                <w:b/>
              </w:rPr>
            </w:pPr>
            <w:r w:rsidRPr="00A64A8E">
              <w:rPr>
                <w:rFonts w:cs="Arial"/>
                <w:b/>
              </w:rPr>
              <w:t>Small Claims Court</w:t>
            </w:r>
            <w:r>
              <w:rPr>
                <w:rFonts w:cs="Arial"/>
                <w:b/>
              </w:rPr>
              <w:t xml:space="preserve"> </w:t>
            </w:r>
          </w:p>
          <w:p w:rsidR="00E208D4" w:rsidRPr="002E12A5" w:rsidRDefault="00E208D4" w:rsidP="00EB3D71">
            <w:pPr>
              <w:rPr>
                <w:rFonts w:cs="Arial"/>
              </w:rPr>
            </w:pPr>
            <w:r>
              <w:rPr>
                <w:rFonts w:cs="Arial"/>
              </w:rPr>
              <w:t>(Presiding over by</w:t>
            </w:r>
            <w:r w:rsidRPr="002E12A5">
              <w:rPr>
                <w:rFonts w:cs="Arial"/>
              </w:rPr>
              <w:t xml:space="preserve"> Deputy Judge</w:t>
            </w:r>
            <w:r>
              <w:rPr>
                <w:rFonts w:cs="Arial"/>
              </w:rPr>
              <w:t>s</w:t>
            </w:r>
            <w:r w:rsidRPr="002E12A5">
              <w:rPr>
                <w:rFonts w:cs="Arial"/>
              </w:rPr>
              <w:t>)</w:t>
            </w:r>
          </w:p>
          <w:p w:rsidR="00E208D4" w:rsidRPr="00A64A8E" w:rsidRDefault="00E208D4" w:rsidP="00EB3D71">
            <w:pPr>
              <w:rPr>
                <w:rFonts w:cs="Arial"/>
              </w:rPr>
            </w:pPr>
            <w:r w:rsidRPr="00A64A8E">
              <w:rPr>
                <w:rFonts w:cs="Arial"/>
              </w:rPr>
              <w:t>Judgment Debtor Examinations</w:t>
            </w:r>
          </w:p>
          <w:p w:rsidR="00E208D4" w:rsidRPr="00A64A8E" w:rsidRDefault="00E208D4" w:rsidP="00EB3D71">
            <w:pPr>
              <w:rPr>
                <w:rFonts w:cs="Arial"/>
              </w:rPr>
            </w:pPr>
            <w:r w:rsidRPr="00A64A8E">
              <w:rPr>
                <w:rFonts w:cs="Arial"/>
              </w:rPr>
              <w:t>Motions</w:t>
            </w:r>
          </w:p>
          <w:p w:rsidR="00E208D4" w:rsidRPr="00A64A8E" w:rsidRDefault="00E208D4" w:rsidP="00EB3D71">
            <w:pPr>
              <w:rPr>
                <w:rFonts w:cs="Arial"/>
              </w:rPr>
            </w:pPr>
            <w:r w:rsidRPr="00A64A8E">
              <w:rPr>
                <w:rFonts w:cs="Arial"/>
              </w:rPr>
              <w:t>Pretrials</w:t>
            </w:r>
          </w:p>
          <w:p w:rsidR="00E208D4" w:rsidRPr="00A64A8E" w:rsidRDefault="00E208D4" w:rsidP="00EB3D71">
            <w:pPr>
              <w:rPr>
                <w:rFonts w:cs="Arial"/>
              </w:rPr>
            </w:pPr>
            <w:r w:rsidRPr="00A64A8E">
              <w:rPr>
                <w:rFonts w:cs="Arial"/>
              </w:rPr>
              <w:t>Trials</w:t>
            </w:r>
          </w:p>
        </w:tc>
        <w:tc>
          <w:tcPr>
            <w:tcW w:w="2937" w:type="dxa"/>
          </w:tcPr>
          <w:p w:rsidR="00E208D4" w:rsidRPr="00A64A8E" w:rsidRDefault="00E208D4" w:rsidP="00EB3D71">
            <w:pPr>
              <w:spacing w:before="120"/>
              <w:rPr>
                <w:rFonts w:cs="Arial"/>
              </w:rPr>
            </w:pPr>
            <w:r w:rsidRPr="00A64A8E">
              <w:rPr>
                <w:rFonts w:cs="Arial"/>
              </w:rPr>
              <w:t>Appeals (from POA)</w:t>
            </w:r>
          </w:p>
          <w:p w:rsidR="00E208D4" w:rsidRPr="00A64A8E" w:rsidRDefault="00E208D4" w:rsidP="00EB3D71">
            <w:pPr>
              <w:rPr>
                <w:rFonts w:cs="Arial"/>
              </w:rPr>
            </w:pPr>
            <w:r w:rsidRPr="00A64A8E">
              <w:rPr>
                <w:rFonts w:cs="Arial"/>
              </w:rPr>
              <w:t>Criminal Bail Hearings</w:t>
            </w:r>
          </w:p>
          <w:p w:rsidR="00E208D4" w:rsidRPr="00A64A8E" w:rsidRDefault="00E208D4" w:rsidP="00EB3D71">
            <w:pPr>
              <w:rPr>
                <w:rFonts w:cs="Arial"/>
              </w:rPr>
            </w:pPr>
            <w:r w:rsidRPr="00A64A8E">
              <w:rPr>
                <w:rFonts w:cs="Arial"/>
              </w:rPr>
              <w:t>Criminal First Appearance</w:t>
            </w:r>
          </w:p>
          <w:p w:rsidR="00E208D4" w:rsidRPr="00A64A8E" w:rsidRDefault="00E208D4" w:rsidP="00EB3D71">
            <w:pPr>
              <w:rPr>
                <w:rFonts w:cs="Arial"/>
              </w:rPr>
            </w:pPr>
            <w:r w:rsidRPr="00A64A8E">
              <w:rPr>
                <w:rFonts w:cs="Arial"/>
              </w:rPr>
              <w:t xml:space="preserve">Criminal Pleas </w:t>
            </w:r>
          </w:p>
          <w:p w:rsidR="00E208D4" w:rsidRPr="00A64A8E" w:rsidRDefault="00E208D4" w:rsidP="00EB3D71">
            <w:pPr>
              <w:rPr>
                <w:rFonts w:cs="Arial"/>
                <w:i/>
                <w:iCs/>
              </w:rPr>
            </w:pPr>
            <w:r w:rsidRPr="00A64A8E">
              <w:rPr>
                <w:rFonts w:cs="Arial"/>
              </w:rPr>
              <w:t xml:space="preserve">Criminal </w:t>
            </w:r>
            <w:r w:rsidRPr="00A64A8E">
              <w:rPr>
                <w:rFonts w:cs="Arial"/>
                <w:i/>
                <w:iCs/>
              </w:rPr>
              <w:t>Pré-enquêtes</w:t>
            </w:r>
          </w:p>
          <w:p w:rsidR="00E208D4" w:rsidRPr="00A64A8E" w:rsidRDefault="00E208D4" w:rsidP="00EB3D71">
            <w:pPr>
              <w:rPr>
                <w:rFonts w:cs="Arial"/>
              </w:rPr>
            </w:pPr>
            <w:r w:rsidRPr="00A64A8E">
              <w:rPr>
                <w:rFonts w:cs="Arial"/>
              </w:rPr>
              <w:t>Criminal Preliminary Hearings</w:t>
            </w:r>
          </w:p>
          <w:p w:rsidR="00E208D4" w:rsidRPr="00A64A8E" w:rsidRDefault="00E208D4" w:rsidP="00EB3D71">
            <w:pPr>
              <w:rPr>
                <w:rFonts w:cs="Arial"/>
              </w:rPr>
            </w:pPr>
            <w:r w:rsidRPr="00A64A8E">
              <w:rPr>
                <w:rFonts w:cs="Arial"/>
              </w:rPr>
              <w:t>Criminal Pre-trials</w:t>
            </w:r>
          </w:p>
          <w:p w:rsidR="00E208D4" w:rsidRPr="00A64A8E" w:rsidRDefault="00E208D4" w:rsidP="00EB3D71">
            <w:pPr>
              <w:rPr>
                <w:rFonts w:cs="Arial"/>
                <w:b/>
              </w:rPr>
            </w:pPr>
            <w:r w:rsidRPr="00A64A8E">
              <w:rPr>
                <w:rFonts w:cs="Arial"/>
              </w:rPr>
              <w:t>Criminal Trials</w:t>
            </w:r>
          </w:p>
          <w:p w:rsidR="00E208D4" w:rsidRPr="00A64A8E" w:rsidRDefault="00E208D4" w:rsidP="00EB3D71">
            <w:pPr>
              <w:rPr>
                <w:rFonts w:cs="Arial"/>
              </w:rPr>
            </w:pPr>
            <w:r w:rsidRPr="00A64A8E">
              <w:rPr>
                <w:rFonts w:cs="Arial"/>
                <w:i/>
              </w:rPr>
              <w:t>Youth Criminal Justice Act</w:t>
            </w:r>
            <w:r w:rsidRPr="00A64A8E">
              <w:rPr>
                <w:rFonts w:cs="Arial"/>
              </w:rPr>
              <w:t xml:space="preserve"> matters</w:t>
            </w:r>
          </w:p>
          <w:p w:rsidR="00E208D4" w:rsidRPr="00A64A8E" w:rsidRDefault="00E208D4" w:rsidP="00EB3D71">
            <w:pPr>
              <w:spacing w:before="120"/>
              <w:rPr>
                <w:rFonts w:cs="Arial"/>
                <w:color w:val="000000"/>
              </w:rPr>
            </w:pPr>
            <w:r w:rsidRPr="00A64A8E">
              <w:rPr>
                <w:rFonts w:cs="Arial"/>
                <w:b/>
              </w:rPr>
              <w:t>Intake Court</w:t>
            </w:r>
            <w:r w:rsidRPr="00A64A8E">
              <w:rPr>
                <w:rFonts w:cs="Arial"/>
                <w:color w:val="000000"/>
              </w:rPr>
              <w:t xml:space="preserve"> </w:t>
            </w:r>
          </w:p>
          <w:p w:rsidR="00E208D4" w:rsidRPr="00A64A8E" w:rsidRDefault="00E208D4" w:rsidP="00EB3D71">
            <w:pPr>
              <w:rPr>
                <w:rFonts w:cs="Arial"/>
              </w:rPr>
            </w:pPr>
            <w:r w:rsidRPr="00A64A8E">
              <w:rPr>
                <w:rFonts w:cs="Arial"/>
              </w:rPr>
              <w:t>(Presided over by Justices of the Peace)</w:t>
            </w:r>
          </w:p>
        </w:tc>
        <w:tc>
          <w:tcPr>
            <w:tcW w:w="3909" w:type="dxa"/>
          </w:tcPr>
          <w:p w:rsidR="00E208D4" w:rsidRPr="00A64A8E" w:rsidRDefault="00E208D4" w:rsidP="00EB3D71">
            <w:pPr>
              <w:spacing w:before="120"/>
              <w:rPr>
                <w:rFonts w:cs="Arial"/>
              </w:rPr>
            </w:pPr>
            <w:r w:rsidRPr="00A64A8E">
              <w:rPr>
                <w:rFonts w:cs="Arial"/>
              </w:rPr>
              <w:t>Adoption Hearings</w:t>
            </w:r>
          </w:p>
          <w:p w:rsidR="00E208D4" w:rsidRPr="00A64A8E" w:rsidRDefault="00E208D4" w:rsidP="00EB3D71">
            <w:pPr>
              <w:rPr>
                <w:rFonts w:cs="Arial"/>
              </w:rPr>
            </w:pPr>
            <w:r w:rsidRPr="00A64A8E">
              <w:rPr>
                <w:rFonts w:cs="Arial"/>
              </w:rPr>
              <w:t>Assignment Court</w:t>
            </w:r>
          </w:p>
          <w:p w:rsidR="00E208D4" w:rsidRPr="00A64A8E" w:rsidRDefault="00E208D4" w:rsidP="00EB3D71">
            <w:pPr>
              <w:rPr>
                <w:rFonts w:cs="Arial"/>
              </w:rPr>
            </w:pPr>
            <w:r w:rsidRPr="00A64A8E">
              <w:rPr>
                <w:rFonts w:cs="Arial"/>
              </w:rPr>
              <w:t>Case Conferences</w:t>
            </w:r>
          </w:p>
          <w:p w:rsidR="00E208D4" w:rsidRPr="00A64A8E" w:rsidRDefault="00E208D4" w:rsidP="00EB3D71">
            <w:pPr>
              <w:rPr>
                <w:rFonts w:cs="Arial"/>
              </w:rPr>
            </w:pPr>
            <w:r w:rsidRPr="00A64A8E">
              <w:rPr>
                <w:rFonts w:cs="Arial"/>
              </w:rPr>
              <w:t>Child Welfare Trials</w:t>
            </w:r>
          </w:p>
          <w:p w:rsidR="00E208D4" w:rsidRPr="00A64A8E" w:rsidRDefault="00E208D4" w:rsidP="00EB3D71">
            <w:pPr>
              <w:rPr>
                <w:rFonts w:cs="Arial"/>
              </w:rPr>
            </w:pPr>
            <w:r w:rsidRPr="00A64A8E">
              <w:rPr>
                <w:rFonts w:cs="Arial"/>
              </w:rPr>
              <w:t>Divorce Proceedings</w:t>
            </w:r>
          </w:p>
          <w:p w:rsidR="00E208D4" w:rsidRPr="00A64A8E" w:rsidRDefault="00E208D4" w:rsidP="00EB3D71">
            <w:pPr>
              <w:rPr>
                <w:rFonts w:cs="Arial"/>
              </w:rPr>
            </w:pPr>
            <w:r w:rsidRPr="00A64A8E">
              <w:rPr>
                <w:rFonts w:cs="Arial"/>
              </w:rPr>
              <w:t xml:space="preserve">Family Trials </w:t>
            </w:r>
          </w:p>
          <w:p w:rsidR="00E208D4" w:rsidRPr="00A64A8E" w:rsidRDefault="00E208D4" w:rsidP="00EB3D71">
            <w:pPr>
              <w:rPr>
                <w:rFonts w:cs="Arial"/>
              </w:rPr>
            </w:pPr>
            <w:r w:rsidRPr="00A64A8E">
              <w:rPr>
                <w:rFonts w:cs="Arial"/>
              </w:rPr>
              <w:t>Motions</w:t>
            </w:r>
          </w:p>
          <w:p w:rsidR="00E208D4" w:rsidRPr="00A64A8E" w:rsidRDefault="00E208D4" w:rsidP="00EB3D71">
            <w:pPr>
              <w:rPr>
                <w:rFonts w:cs="Arial"/>
              </w:rPr>
            </w:pPr>
            <w:r w:rsidRPr="00A64A8E">
              <w:rPr>
                <w:rFonts w:cs="Arial"/>
              </w:rPr>
              <w:t>Settlement Conferences</w:t>
            </w:r>
          </w:p>
          <w:p w:rsidR="00E208D4" w:rsidRPr="00A64A8E" w:rsidRDefault="00E208D4" w:rsidP="00EB3D71">
            <w:pPr>
              <w:rPr>
                <w:rFonts w:cs="Arial"/>
              </w:rPr>
            </w:pPr>
            <w:r w:rsidRPr="00A64A8E">
              <w:rPr>
                <w:rFonts w:cs="Arial"/>
              </w:rPr>
              <w:t>Trial Management Conferences</w:t>
            </w:r>
          </w:p>
          <w:p w:rsidR="00E208D4" w:rsidRPr="00A64A8E" w:rsidRDefault="00E208D4" w:rsidP="00EB3D71">
            <w:pPr>
              <w:spacing w:before="120"/>
              <w:rPr>
                <w:rFonts w:cs="Arial"/>
              </w:rPr>
            </w:pPr>
            <w:r w:rsidRPr="00A64A8E">
              <w:rPr>
                <w:rFonts w:cs="Arial"/>
                <w:b/>
              </w:rPr>
              <w:t xml:space="preserve">Note:  </w:t>
            </w:r>
            <w:r w:rsidRPr="00A64A8E">
              <w:rPr>
                <w:rFonts w:cs="Arial"/>
              </w:rPr>
              <w:t>In Ontario, family law matters are heard in the Ontario Court of Justice, the Superior Court of Justice, or the Superior Court of Justice (Family Court)</w:t>
            </w:r>
            <w:r>
              <w:rPr>
                <w:rFonts w:cs="Arial"/>
              </w:rPr>
              <w:t>,</w:t>
            </w:r>
            <w:r w:rsidRPr="00A64A8E">
              <w:rPr>
                <w:rFonts w:cs="Arial"/>
              </w:rPr>
              <w:t xml:space="preserve"> depending </w:t>
            </w:r>
            <w:r>
              <w:rPr>
                <w:rFonts w:cs="Arial"/>
              </w:rPr>
              <w:t>up</w:t>
            </w:r>
            <w:r w:rsidRPr="00A64A8E">
              <w:rPr>
                <w:rFonts w:cs="Arial"/>
              </w:rPr>
              <w:t>on the issue in dispute and the location within the province.</w:t>
            </w:r>
          </w:p>
        </w:tc>
      </w:tr>
    </w:tbl>
    <w:p w:rsidR="00E208D4" w:rsidRDefault="00E208D4" w:rsidP="00E208D4"/>
    <w:p w:rsidR="00E64DC9" w:rsidRDefault="00E64DC9"/>
    <w:sectPr w:rsidR="00E64D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0AFF" w:usb1="40007843" w:usb2="00000001" w:usb3="00000000" w:csb0="000001BF" w:csb1="00000000"/>
  </w:font>
  <w:font w:name="Times New Roman">
    <w:panose1 w:val="02020603050405020304"/>
    <w:charset w:val="00"/>
    <w:family w:val="roman"/>
    <w:pitch w:val="variable"/>
    <w:sig w:usb0="E0002EFF" w:usb1="C0007843" w:usb2="00000009" w:usb3="00000000" w:csb0="000001FF" w:csb1="00000000"/>
  </w:font>
  <w:font w:name="Wingdings">
    <w:altName w:val="Symbol"/>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B63F2"/>
    <w:multiLevelType w:val="hybridMultilevel"/>
    <w:tmpl w:val="697EA598"/>
    <w:lvl w:ilvl="0" w:tplc="48E025E8">
      <w:start w:val="1"/>
      <w:numFmt w:val="bullet"/>
      <w:lvlText w:val="o"/>
      <w:lvlJc w:val="left"/>
      <w:pPr>
        <w:ind w:left="720" w:hanging="360"/>
      </w:pPr>
      <w:rPr>
        <w:rFonts w:ascii="Courier New" w:hAnsi="Courier New" w:cs="Courier New"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8D4"/>
    <w:rsid w:val="003955DA"/>
    <w:rsid w:val="004071D1"/>
    <w:rsid w:val="00566F6F"/>
    <w:rsid w:val="00896B33"/>
    <w:rsid w:val="0096439D"/>
    <w:rsid w:val="00AB3131"/>
    <w:rsid w:val="00AB5B1C"/>
    <w:rsid w:val="00AD3CE2"/>
    <w:rsid w:val="00B752B5"/>
    <w:rsid w:val="00C26828"/>
    <w:rsid w:val="00D77CE9"/>
    <w:rsid w:val="00E06FDF"/>
    <w:rsid w:val="00E208D4"/>
    <w:rsid w:val="00E229AA"/>
    <w:rsid w:val="00E64D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010B9D-B9CB-4945-9B0E-99BD1F3DD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8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8D4"/>
    <w:pPr>
      <w:ind w:left="720"/>
      <w:contextualSpacing/>
    </w:pPr>
  </w:style>
  <w:style w:type="table" w:styleId="TableGrid">
    <w:name w:val="Table Grid"/>
    <w:basedOn w:val="TableNormal"/>
    <w:uiPriority w:val="59"/>
    <w:rsid w:val="00E20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0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8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 Judy (JUS)</dc:creator>
  <cp:lastModifiedBy>Microsoft account</cp:lastModifiedBy>
  <cp:revision>1</cp:revision>
  <dcterms:created xsi:type="dcterms:W3CDTF">2015-10-27T19:07:00Z</dcterms:created>
  <dcterms:modified xsi:type="dcterms:W3CDTF">2015-10-27T19:07:00Z</dcterms:modified>
</cp:coreProperties>
</file>